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B0C8" w14:textId="59F34724" w:rsidR="00C65B97" w:rsidRPr="00636BDD" w:rsidRDefault="004872EC" w:rsidP="00636B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2E5FD952" wp14:editId="53AE291E">
            <wp:simplePos x="0" y="0"/>
            <wp:positionH relativeFrom="margin">
              <wp:align>right</wp:align>
            </wp:positionH>
            <wp:positionV relativeFrom="paragraph">
              <wp:posOffset>309880</wp:posOffset>
            </wp:positionV>
            <wp:extent cx="5753100" cy="2082800"/>
            <wp:effectExtent l="0" t="0" r="0" b="0"/>
            <wp:wrapSquare wrapText="bothSides"/>
            <wp:docPr id="6261021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02134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8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C62">
        <w:rPr>
          <w:rFonts w:ascii="Arial" w:hAnsi="Arial" w:cs="Arial"/>
          <w:b/>
          <w:sz w:val="24"/>
          <w:szCs w:val="24"/>
        </w:rPr>
        <w:t>Opiekacz</w:t>
      </w:r>
      <w:r w:rsidR="00636BDD" w:rsidRPr="00636BDD">
        <w:rPr>
          <w:rFonts w:ascii="Arial" w:hAnsi="Arial" w:cs="Arial"/>
          <w:b/>
          <w:sz w:val="24"/>
          <w:szCs w:val="24"/>
        </w:rPr>
        <w:t xml:space="preserve"> </w:t>
      </w:r>
      <w:r w:rsidR="00133D7B">
        <w:rPr>
          <w:rFonts w:ascii="Arial" w:hAnsi="Arial" w:cs="Arial"/>
          <w:b/>
          <w:sz w:val="24"/>
          <w:szCs w:val="24"/>
        </w:rPr>
        <w:t>4</w:t>
      </w:r>
      <w:r w:rsidR="00785374">
        <w:rPr>
          <w:rFonts w:ascii="Arial" w:hAnsi="Arial" w:cs="Arial"/>
          <w:b/>
          <w:sz w:val="24"/>
          <w:szCs w:val="24"/>
        </w:rPr>
        <w:t>v1</w:t>
      </w:r>
      <w:r w:rsidR="00636BDD" w:rsidRPr="00636BDD">
        <w:rPr>
          <w:rFonts w:ascii="Arial" w:hAnsi="Arial" w:cs="Arial"/>
          <w:b/>
          <w:sz w:val="24"/>
          <w:szCs w:val="24"/>
        </w:rPr>
        <w:t xml:space="preserve"> Concept </w:t>
      </w:r>
      <w:r w:rsidR="00C65B97" w:rsidRPr="00636BDD">
        <w:rPr>
          <w:rFonts w:ascii="Arial" w:hAnsi="Arial" w:cs="Arial"/>
          <w:b/>
          <w:sz w:val="24"/>
          <w:szCs w:val="24"/>
        </w:rPr>
        <w:t>SV30</w:t>
      </w:r>
      <w:r w:rsidR="0003179B">
        <w:rPr>
          <w:rFonts w:ascii="Arial" w:hAnsi="Arial" w:cs="Arial"/>
          <w:b/>
          <w:sz w:val="24"/>
          <w:szCs w:val="24"/>
        </w:rPr>
        <w:t>5</w:t>
      </w:r>
      <w:r w:rsidR="00867EDC">
        <w:rPr>
          <w:rFonts w:ascii="Arial" w:hAnsi="Arial" w:cs="Arial"/>
          <w:b/>
          <w:sz w:val="24"/>
          <w:szCs w:val="24"/>
        </w:rPr>
        <w:t>7</w:t>
      </w:r>
    </w:p>
    <w:p w14:paraId="585FB255" w14:textId="77777777" w:rsidR="004872EC" w:rsidRDefault="004872EC" w:rsidP="00636BD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417B2F" w14:textId="5A4CEFB9" w:rsidR="00162311" w:rsidRPr="004872EC" w:rsidRDefault="00133D7B" w:rsidP="00636BD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4872EC">
        <w:rPr>
          <w:rFonts w:ascii="Arial" w:hAnsi="Arial" w:cs="Arial"/>
          <w:b/>
          <w:bCs/>
          <w:sz w:val="20"/>
          <w:szCs w:val="20"/>
        </w:rPr>
        <w:t>4</w:t>
      </w:r>
      <w:r w:rsidR="00383C62">
        <w:rPr>
          <w:rFonts w:ascii="Arial" w:hAnsi="Arial" w:cs="Arial"/>
          <w:b/>
          <w:bCs/>
          <w:sz w:val="20"/>
          <w:szCs w:val="20"/>
        </w:rPr>
        <w:t>w</w:t>
      </w:r>
      <w:r w:rsidR="00785374" w:rsidRPr="004872EC">
        <w:rPr>
          <w:rFonts w:ascii="Arial" w:hAnsi="Arial" w:cs="Arial"/>
          <w:b/>
          <w:bCs/>
          <w:sz w:val="20"/>
          <w:szCs w:val="20"/>
        </w:rPr>
        <w:t>1</w:t>
      </w:r>
    </w:p>
    <w:p w14:paraId="1C879DD9" w14:textId="77777777" w:rsidR="00383C62" w:rsidRPr="00383C62" w:rsidRDefault="00383C62" w:rsidP="00383C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83C62">
        <w:rPr>
          <w:rFonts w:ascii="Arial" w:hAnsi="Arial" w:cs="Arial"/>
          <w:b/>
          <w:bCs/>
          <w:sz w:val="20"/>
          <w:szCs w:val="20"/>
        </w:rPr>
        <w:t>Nieprzywierająca powierzchnia płytek</w:t>
      </w:r>
    </w:p>
    <w:p w14:paraId="50433D59" w14:textId="3FC69E56" w:rsidR="00636BDD" w:rsidRPr="004872EC" w:rsidRDefault="00383C62" w:rsidP="00383C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83C62">
        <w:rPr>
          <w:rFonts w:ascii="Arial" w:hAnsi="Arial" w:cs="Arial"/>
          <w:b/>
          <w:bCs/>
          <w:sz w:val="20"/>
          <w:szCs w:val="20"/>
        </w:rPr>
        <w:t>Łatw</w:t>
      </w:r>
      <w:r>
        <w:rPr>
          <w:rFonts w:ascii="Arial" w:hAnsi="Arial" w:cs="Arial"/>
          <w:b/>
          <w:bCs/>
          <w:sz w:val="20"/>
          <w:szCs w:val="20"/>
        </w:rPr>
        <w:t>e czyszcenie</w:t>
      </w:r>
    </w:p>
    <w:p w14:paraId="28DCC882" w14:textId="00840C75" w:rsidR="00867D92" w:rsidRDefault="003C4781" w:rsidP="00636BDD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15A7F918" wp14:editId="065A5CAF">
            <wp:simplePos x="0" y="0"/>
            <wp:positionH relativeFrom="margin">
              <wp:align>left</wp:align>
            </wp:positionH>
            <wp:positionV relativeFrom="paragraph">
              <wp:posOffset>92075</wp:posOffset>
            </wp:positionV>
            <wp:extent cx="1799590" cy="1199515"/>
            <wp:effectExtent l="0" t="0" r="0" b="635"/>
            <wp:wrapSquare wrapText="bothSides"/>
            <wp:docPr id="1435438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C6C75" w14:textId="4A1357FA" w:rsidR="00383C62" w:rsidRDefault="00383C62" w:rsidP="0049024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83C62">
        <w:rPr>
          <w:rFonts w:ascii="Arial" w:hAnsi="Arial" w:cs="Arial"/>
          <w:sz w:val="20"/>
          <w:szCs w:val="20"/>
          <w:u w:val="single"/>
        </w:rPr>
        <w:t xml:space="preserve">Od śniadania </w:t>
      </w:r>
      <w:r>
        <w:rPr>
          <w:rFonts w:ascii="Arial" w:hAnsi="Arial" w:cs="Arial"/>
          <w:sz w:val="20"/>
          <w:szCs w:val="20"/>
          <w:u w:val="single"/>
        </w:rPr>
        <w:t xml:space="preserve">po </w:t>
      </w:r>
      <w:r w:rsidRPr="00383C62">
        <w:rPr>
          <w:rFonts w:ascii="Arial" w:hAnsi="Arial" w:cs="Arial"/>
          <w:sz w:val="20"/>
          <w:szCs w:val="20"/>
          <w:u w:val="single"/>
        </w:rPr>
        <w:t>kolacj</w:t>
      </w:r>
      <w:r>
        <w:rPr>
          <w:rFonts w:ascii="Arial" w:hAnsi="Arial" w:cs="Arial"/>
          <w:sz w:val="20"/>
          <w:szCs w:val="20"/>
          <w:u w:val="single"/>
        </w:rPr>
        <w:t>ę</w:t>
      </w:r>
    </w:p>
    <w:p w14:paraId="3837AAC5" w14:textId="52AF6889" w:rsidR="00B82896" w:rsidRDefault="00B82896" w:rsidP="00636BDD">
      <w:pPr>
        <w:spacing w:after="0"/>
        <w:rPr>
          <w:rFonts w:ascii="Arial" w:hAnsi="Arial" w:cs="Arial"/>
          <w:sz w:val="20"/>
          <w:szCs w:val="20"/>
        </w:rPr>
      </w:pPr>
      <w:bookmarkStart w:id="0" w:name="_Hlk126663277"/>
      <w:r w:rsidRPr="00B82896">
        <w:rPr>
          <w:rFonts w:ascii="Arial" w:hAnsi="Arial" w:cs="Arial"/>
          <w:sz w:val="20"/>
          <w:szCs w:val="20"/>
        </w:rPr>
        <w:t>Opiekacz 4 w 1 Concept SV305</w:t>
      </w:r>
      <w:r>
        <w:rPr>
          <w:rFonts w:ascii="Arial" w:hAnsi="Arial" w:cs="Arial"/>
          <w:sz w:val="20"/>
          <w:szCs w:val="20"/>
        </w:rPr>
        <w:t>7</w:t>
      </w:r>
      <w:r w:rsidRPr="00B82896">
        <w:rPr>
          <w:rFonts w:ascii="Arial" w:hAnsi="Arial" w:cs="Arial"/>
          <w:sz w:val="20"/>
          <w:szCs w:val="20"/>
        </w:rPr>
        <w:t xml:space="preserve"> w eleganckim czarnym designie pomoże Ci szybko przygotować śniadanie, lunch, przekąskę i kolację. Dzięki czterem wymiennym płytkom oferuje szerokie możliwości zastosowań. Musisz po prostu wybrać, co czujesz. Otrzymujesz czterech praktycznych pomocników w jednym urządzeniu, którzy zajmują minimum miejsca w Twojej kuchn</w:t>
      </w:r>
    </w:p>
    <w:p w14:paraId="04644457" w14:textId="51AB6B13" w:rsidR="00490241" w:rsidRDefault="00490241" w:rsidP="00636B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2CF42159" wp14:editId="01B3BF33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1800000" cy="1200993"/>
            <wp:effectExtent l="0" t="0" r="0" b="0"/>
            <wp:wrapSquare wrapText="bothSides"/>
            <wp:docPr id="1" name="Obrázek 1" descr="Obsah obrázku rostlina,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rostlina, jí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C6062" w14:textId="77777777" w:rsidR="00B82896" w:rsidRDefault="00B82896" w:rsidP="00636B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82896">
        <w:rPr>
          <w:rFonts w:ascii="Arial" w:hAnsi="Arial" w:cs="Arial"/>
          <w:sz w:val="20"/>
          <w:szCs w:val="20"/>
          <w:u w:val="single"/>
        </w:rPr>
        <w:t>Tosty jako szybka przekąska</w:t>
      </w:r>
    </w:p>
    <w:p w14:paraId="3B0BE2D9" w14:textId="77777777" w:rsidR="00B82896" w:rsidRDefault="00B82896" w:rsidP="00636BDD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Kto nie lubi świeżo upieczonych i chrupiących tostów. Twoja wyobraźnia nie ma granic i możesz wykorzystać niemal wszystko, co znajdziesz w lodówce. Można spróbować niezliczonych kombinacji, od klasyki z serem i szynką po słodkie tosty z np. jabłkami i cynamonem. Szybka przekąska możesz przygotować dosłownie w kilka minut.</w:t>
      </w:r>
    </w:p>
    <w:p w14:paraId="23E94087" w14:textId="631BC2C5" w:rsidR="00490241" w:rsidRDefault="00E27279" w:rsidP="00636B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54B9A4B" wp14:editId="13B3BF8B">
            <wp:simplePos x="0" y="0"/>
            <wp:positionH relativeFrom="margin">
              <wp:align>left</wp:align>
            </wp:positionH>
            <wp:positionV relativeFrom="paragraph">
              <wp:posOffset>137160</wp:posOffset>
            </wp:positionV>
            <wp:extent cx="1799590" cy="1199515"/>
            <wp:effectExtent l="0" t="0" r="0" b="635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A5A8" w14:textId="77777777" w:rsidR="00B82896" w:rsidRDefault="00B82896" w:rsidP="00636B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82896">
        <w:rPr>
          <w:rFonts w:ascii="Arial" w:hAnsi="Arial" w:cs="Arial"/>
          <w:sz w:val="20"/>
          <w:szCs w:val="20"/>
          <w:u w:val="single"/>
        </w:rPr>
        <w:t>Gofry, którym nikt się nie oprze</w:t>
      </w:r>
    </w:p>
    <w:p w14:paraId="20992115" w14:textId="17F4495D" w:rsidR="00910B6E" w:rsidRDefault="00B82896" w:rsidP="00636BDD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Wymieniając płytki, w mgnieniu oka otrzymasz gofrownicę, którą szczególnie pokochają Twoje dzieci. Ten słodki przysmak zaspokoi każde podniebienie. Jeśli jednak nie przepadasz za słodyczami, tradycyjne gofry belgijskie możesz zastąpić wersją na słono.</w:t>
      </w:r>
    </w:p>
    <w:p w14:paraId="0B265BCB" w14:textId="77777777" w:rsidR="00B82896" w:rsidRDefault="00B82896" w:rsidP="00636BDD">
      <w:pPr>
        <w:spacing w:after="0"/>
        <w:rPr>
          <w:rFonts w:ascii="Arial" w:hAnsi="Arial" w:cs="Arial"/>
          <w:sz w:val="20"/>
          <w:szCs w:val="20"/>
        </w:rPr>
      </w:pPr>
    </w:p>
    <w:p w14:paraId="6D362D24" w14:textId="71C7FF46" w:rsidR="00E27279" w:rsidRDefault="00910B6E" w:rsidP="00636B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3E9E948" wp14:editId="100CB30C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1799590" cy="1201420"/>
            <wp:effectExtent l="0" t="0" r="0" b="0"/>
            <wp:wrapSquare wrapText="bothSides"/>
            <wp:docPr id="3" name="Obrázek 3" descr="Obsah obrázku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jídlo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84" t="5962"/>
                    <a:stretch/>
                  </pic:blipFill>
                  <pic:spPr bwMode="auto">
                    <a:xfrm>
                      <a:off x="0" y="0"/>
                      <a:ext cx="179959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F262F" w14:textId="1D7A60CE" w:rsidR="00157B0A" w:rsidRDefault="00157B0A" w:rsidP="00636BDD">
      <w:pPr>
        <w:spacing w:after="0"/>
        <w:rPr>
          <w:rFonts w:ascii="Arial" w:hAnsi="Arial" w:cs="Arial"/>
          <w:sz w:val="20"/>
          <w:szCs w:val="20"/>
        </w:rPr>
      </w:pPr>
    </w:p>
    <w:p w14:paraId="0BA8D6D4" w14:textId="77777777" w:rsidR="00B82896" w:rsidRDefault="00B82896" w:rsidP="003A127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82896">
        <w:rPr>
          <w:rFonts w:ascii="Arial" w:hAnsi="Arial" w:cs="Arial"/>
          <w:sz w:val="20"/>
          <w:szCs w:val="20"/>
          <w:u w:val="single"/>
        </w:rPr>
        <w:t>Grillowane przysmaki przez cały rok</w:t>
      </w:r>
    </w:p>
    <w:p w14:paraId="0C5AFD9B" w14:textId="1A11B451" w:rsidR="00E27279" w:rsidRDefault="00B82896" w:rsidP="00636BDD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 xml:space="preserve">Dzięki </w:t>
      </w:r>
      <w:r>
        <w:rPr>
          <w:rFonts w:ascii="Arial" w:hAnsi="Arial" w:cs="Arial"/>
          <w:sz w:val="20"/>
          <w:szCs w:val="20"/>
        </w:rPr>
        <w:t>opiekaczowi</w:t>
      </w:r>
      <w:r w:rsidRPr="00B82896">
        <w:rPr>
          <w:rFonts w:ascii="Arial" w:hAnsi="Arial" w:cs="Arial"/>
          <w:sz w:val="20"/>
          <w:szCs w:val="20"/>
        </w:rPr>
        <w:t xml:space="preserve"> SV305</w:t>
      </w:r>
      <w:r>
        <w:rPr>
          <w:rFonts w:ascii="Arial" w:hAnsi="Arial" w:cs="Arial"/>
          <w:sz w:val="20"/>
          <w:szCs w:val="20"/>
        </w:rPr>
        <w:t>7</w:t>
      </w:r>
      <w:r w:rsidRPr="00B82896">
        <w:rPr>
          <w:rFonts w:ascii="Arial" w:hAnsi="Arial" w:cs="Arial"/>
          <w:sz w:val="20"/>
          <w:szCs w:val="20"/>
        </w:rPr>
        <w:t xml:space="preserve"> możesz cieszyć się ulubionymi grillowanymi przysmakami o każdej porze roku. Na płytach grillowych wygodnie przygotujesz soczyste steki, hamburgery, grillowane warzywa, ale także pieczone tosty, tortille czy panini.</w:t>
      </w:r>
    </w:p>
    <w:p w14:paraId="5DE92A28" w14:textId="6FDD2F45" w:rsidR="00910B6E" w:rsidRDefault="00910B6E" w:rsidP="00636BDD">
      <w:pPr>
        <w:spacing w:after="0"/>
        <w:rPr>
          <w:rFonts w:ascii="Arial" w:hAnsi="Arial" w:cs="Arial"/>
          <w:sz w:val="20"/>
          <w:szCs w:val="20"/>
        </w:rPr>
      </w:pPr>
    </w:p>
    <w:bookmarkEnd w:id="0"/>
    <w:p w14:paraId="243FD451" w14:textId="77777777" w:rsidR="003A1275" w:rsidRDefault="003A1275" w:rsidP="00636BDD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</w:p>
    <w:p w14:paraId="6660CD28" w14:textId="77777777" w:rsidR="003A1275" w:rsidRDefault="003A1275" w:rsidP="00636BDD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</w:p>
    <w:p w14:paraId="09747A27" w14:textId="77777777" w:rsidR="003A1275" w:rsidRDefault="003A1275" w:rsidP="00636BDD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</w:p>
    <w:p w14:paraId="0848DBF2" w14:textId="205BC261" w:rsidR="003A1275" w:rsidRDefault="003A1275" w:rsidP="00636BDD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  <w:r w:rsidRPr="003A1275">
        <w:rPr>
          <w:rFonts w:ascii="Arial" w:hAnsi="Arial" w:cs="Arial"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71552" behindDoc="0" locked="0" layoutInCell="1" allowOverlap="1" wp14:anchorId="32C4F396" wp14:editId="1CCA4B08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798955" cy="1221105"/>
            <wp:effectExtent l="0" t="0" r="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27" r="17716" b="8609"/>
                    <a:stretch/>
                  </pic:blipFill>
                  <pic:spPr bwMode="auto">
                    <a:xfrm>
                      <a:off x="0" y="0"/>
                      <a:ext cx="179895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A634E" w14:textId="77777777" w:rsidR="00B82896" w:rsidRDefault="00B82896" w:rsidP="00636BDD">
      <w:pPr>
        <w:spacing w:after="0"/>
        <w:rPr>
          <w:rFonts w:ascii="Arial" w:hAnsi="Arial" w:cs="Arial"/>
          <w:noProof/>
          <w:sz w:val="20"/>
          <w:szCs w:val="20"/>
          <w:u w:val="single"/>
        </w:rPr>
      </w:pPr>
      <w:r w:rsidRPr="00B82896">
        <w:rPr>
          <w:rFonts w:ascii="Arial" w:hAnsi="Arial" w:cs="Arial"/>
          <w:noProof/>
          <w:sz w:val="20"/>
          <w:szCs w:val="20"/>
          <w:u w:val="single"/>
        </w:rPr>
        <w:t>Idealne placuszki i placki ziemniaczane</w:t>
      </w:r>
    </w:p>
    <w:p w14:paraId="6D1D2B43" w14:textId="37E653DC" w:rsidR="0030199A" w:rsidRDefault="00B82896" w:rsidP="00636BDD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Dzięki specjalnym płytkom do ciasta klasyczna patelnia do placków nie będzie Ci już potrzebna. Toster SV305</w:t>
      </w:r>
      <w:r>
        <w:rPr>
          <w:rFonts w:ascii="Arial" w:hAnsi="Arial" w:cs="Arial"/>
          <w:sz w:val="20"/>
          <w:szCs w:val="20"/>
        </w:rPr>
        <w:t>7</w:t>
      </w:r>
      <w:r w:rsidRPr="00B82896">
        <w:rPr>
          <w:rFonts w:ascii="Arial" w:hAnsi="Arial" w:cs="Arial"/>
          <w:sz w:val="20"/>
          <w:szCs w:val="20"/>
        </w:rPr>
        <w:t xml:space="preserve"> całkowicie ją zastąpi. Oprócz wspomnianych już placków można przygotować na nich także domowe placki ziemniaczane lub jajka sadzone</w:t>
      </w:r>
    </w:p>
    <w:p w14:paraId="3D5FB95C" w14:textId="0922AE41" w:rsidR="00490241" w:rsidRDefault="007D0388" w:rsidP="00636BDD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val="single"/>
        </w:rPr>
        <w:drawing>
          <wp:anchor distT="0" distB="0" distL="114300" distR="114300" simplePos="0" relativeHeight="251674624" behindDoc="0" locked="0" layoutInCell="1" allowOverlap="1" wp14:anchorId="044D15FE" wp14:editId="28C07A9E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800000" cy="1200000"/>
            <wp:effectExtent l="0" t="0" r="0" b="635"/>
            <wp:wrapSquare wrapText="bothSides"/>
            <wp:docPr id="14453727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02D98" w14:textId="6E9DC002" w:rsidR="00636BDD" w:rsidRDefault="00B82896" w:rsidP="00636BDD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  <w:u w:val="single"/>
        </w:rPr>
        <w:t xml:space="preserve">Bardzo łatwa konserwacja </w:t>
      </w:r>
      <w:r w:rsidRPr="00B82896">
        <w:rPr>
          <w:rFonts w:ascii="Arial" w:hAnsi="Arial" w:cs="Arial"/>
          <w:sz w:val="20"/>
          <w:szCs w:val="20"/>
        </w:rPr>
        <w:t>Poszczególne płytki posiadają powłokę nieprzywierającą, dzięki czemu przygotowywane potrawy nie przypalą się. Dzięki temu późniejsze czyszczenie będzie bardzo szybkie. Dużą zaletą jest to, że z łatwością można oddzielić płytki od korpusu tostera. Po wystygnięciu wystarczy przetrzeć je wilgotną szmatką lub ręcznikiem papierowym.</w:t>
      </w:r>
    </w:p>
    <w:p w14:paraId="06F1CCA8" w14:textId="318989C1" w:rsidR="00412405" w:rsidRDefault="007D0388" w:rsidP="00636BD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152D019D" wp14:editId="5424F464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1799590" cy="1199515"/>
            <wp:effectExtent l="0" t="0" r="0" b="635"/>
            <wp:wrapSquare wrapText="bothSides"/>
            <wp:docPr id="198390391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4F17F" w14:textId="37007B43" w:rsidR="00412405" w:rsidRPr="00C0175F" w:rsidRDefault="00C0175F" w:rsidP="00636B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C0175F">
        <w:rPr>
          <w:rFonts w:ascii="Arial" w:hAnsi="Arial" w:cs="Arial"/>
          <w:sz w:val="20"/>
          <w:szCs w:val="20"/>
          <w:u w:val="single"/>
        </w:rPr>
        <w:t>Bez</w:t>
      </w:r>
      <w:r w:rsidR="00B82896">
        <w:rPr>
          <w:rFonts w:ascii="Arial" w:hAnsi="Arial" w:cs="Arial"/>
          <w:sz w:val="20"/>
          <w:szCs w:val="20"/>
          <w:u w:val="single"/>
        </w:rPr>
        <w:t>pieczeństwo</w:t>
      </w:r>
    </w:p>
    <w:p w14:paraId="281FAC56" w14:textId="35171021" w:rsidR="006E001B" w:rsidRDefault="00B82896" w:rsidP="00D7637E">
      <w:pPr>
        <w:spacing w:after="0"/>
      </w:pPr>
      <w:r>
        <w:rPr>
          <w:rFonts w:ascii="Arial" w:hAnsi="Arial" w:cs="Arial"/>
          <w:sz w:val="20"/>
          <w:szCs w:val="20"/>
        </w:rPr>
        <w:t xml:space="preserve">Opiekacz </w:t>
      </w:r>
      <w:r w:rsidRPr="00B82896">
        <w:rPr>
          <w:rFonts w:ascii="Arial" w:hAnsi="Arial" w:cs="Arial"/>
          <w:sz w:val="20"/>
          <w:szCs w:val="20"/>
        </w:rPr>
        <w:t>wyposażony jest w kontrolkę nagrzania oraz automatyczną kontrolę temperatury. Dzięki zimnemu uchwytowi nie poparzysz się podczas pracy, a zawias zabezpieczający gwarantuje zablokowanie płytek podczas pracy. Posiada również antypoślizgowe nóżki, które zapewniają lepszą stabilność.</w:t>
      </w:r>
    </w:p>
    <w:p w14:paraId="25CD3566" w14:textId="77777777" w:rsidR="00785374" w:rsidRDefault="00785374" w:rsidP="00D7637E">
      <w:pPr>
        <w:spacing w:after="0"/>
      </w:pPr>
    </w:p>
    <w:p w14:paraId="62231796" w14:textId="77777777" w:rsidR="00D7637E" w:rsidRPr="00636BDD" w:rsidRDefault="00D7637E" w:rsidP="00636BDD">
      <w:pPr>
        <w:spacing w:after="0"/>
        <w:rPr>
          <w:rFonts w:ascii="Arial" w:hAnsi="Arial" w:cs="Arial"/>
          <w:sz w:val="20"/>
          <w:szCs w:val="20"/>
        </w:rPr>
      </w:pPr>
    </w:p>
    <w:p w14:paraId="774CC61B" w14:textId="41281B4B" w:rsidR="00E94AA8" w:rsidRPr="00E05250" w:rsidRDefault="00E05250" w:rsidP="00636BD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05250">
        <w:rPr>
          <w:rFonts w:ascii="Arial" w:hAnsi="Arial" w:cs="Arial"/>
          <w:sz w:val="20"/>
          <w:szCs w:val="20"/>
          <w:u w:val="single"/>
        </w:rPr>
        <w:t>Parametry</w:t>
      </w:r>
      <w:r w:rsidR="00B82896">
        <w:rPr>
          <w:rFonts w:ascii="Arial" w:hAnsi="Arial" w:cs="Arial"/>
          <w:sz w:val="20"/>
          <w:szCs w:val="20"/>
          <w:u w:val="single"/>
        </w:rPr>
        <w:t xml:space="preserve"> techniczne</w:t>
      </w:r>
    </w:p>
    <w:p w14:paraId="4E9285CE" w14:textId="03B834BC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4 komplety wymiennych płyt</w:t>
      </w:r>
      <w:r>
        <w:rPr>
          <w:rFonts w:ascii="Arial" w:hAnsi="Arial" w:cs="Arial"/>
          <w:sz w:val="20"/>
          <w:szCs w:val="20"/>
        </w:rPr>
        <w:t>ek</w:t>
      </w:r>
      <w:r w:rsidRPr="00B82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B828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opiekacz</w:t>
      </w:r>
      <w:r w:rsidRPr="00B82896">
        <w:rPr>
          <w:rFonts w:ascii="Arial" w:hAnsi="Arial" w:cs="Arial"/>
          <w:sz w:val="20"/>
          <w:szCs w:val="20"/>
        </w:rPr>
        <w:t>, gofrownica, grill, patelnia</w:t>
      </w:r>
    </w:p>
    <w:p w14:paraId="6624021B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Efektowna matowa powierzchnia</w:t>
      </w:r>
    </w:p>
    <w:p w14:paraId="0E71B096" w14:textId="5FF3D41B" w:rsidR="00B82896" w:rsidRPr="00B82896" w:rsidRDefault="00A8546C" w:rsidP="00B828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Kontrolka</w:t>
      </w:r>
      <w:r w:rsidR="00B82896" w:rsidRPr="00B82896">
        <w:rPr>
          <w:rFonts w:ascii="Arial" w:hAnsi="Arial" w:cs="Arial"/>
          <w:sz w:val="20"/>
          <w:szCs w:val="20"/>
        </w:rPr>
        <w:t xml:space="preserve"> świetlna (czerwone światło)</w:t>
      </w:r>
    </w:p>
    <w:p w14:paraId="3A9017C0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Kontrolka rozgrzewki (zielona lampka)</w:t>
      </w:r>
    </w:p>
    <w:p w14:paraId="44EBEF80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Automatyczna kontrola temperatury</w:t>
      </w:r>
    </w:p>
    <w:p w14:paraId="2A4FD7AB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Bezpieczny zimny uchwyt</w:t>
      </w:r>
    </w:p>
    <w:p w14:paraId="5411909D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Nieprzywierająca powierzchnia</w:t>
      </w:r>
    </w:p>
    <w:p w14:paraId="40E5BA8A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Bardzo łatwa konserwacja</w:t>
      </w:r>
    </w:p>
    <w:p w14:paraId="4832225D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Kolor: ciemnoszary</w:t>
      </w:r>
    </w:p>
    <w:p w14:paraId="465D28A5" w14:textId="77777777" w:rsidR="00B82896" w:rsidRPr="00B82896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Pobór mocy: 700 W</w:t>
      </w:r>
    </w:p>
    <w:p w14:paraId="74A11330" w14:textId="7EED1A21" w:rsidR="00B34A93" w:rsidRPr="00E05250" w:rsidRDefault="00B82896" w:rsidP="00B82896">
      <w:pPr>
        <w:spacing w:after="0"/>
        <w:rPr>
          <w:rFonts w:ascii="Arial" w:hAnsi="Arial" w:cs="Arial"/>
          <w:sz w:val="20"/>
          <w:szCs w:val="20"/>
        </w:rPr>
      </w:pPr>
      <w:r w:rsidRPr="00B82896">
        <w:rPr>
          <w:rFonts w:ascii="Arial" w:hAnsi="Arial" w:cs="Arial"/>
          <w:sz w:val="20"/>
          <w:szCs w:val="20"/>
        </w:rPr>
        <w:t>Napięcie: 220-240 V</w:t>
      </w:r>
    </w:p>
    <w:sectPr w:rsidR="00B34A93" w:rsidRPr="00E05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673"/>
    <w:multiLevelType w:val="hybridMultilevel"/>
    <w:tmpl w:val="D6CA8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A20"/>
    <w:multiLevelType w:val="hybridMultilevel"/>
    <w:tmpl w:val="416643C6"/>
    <w:lvl w:ilvl="0" w:tplc="8D72D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2D3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9A4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D4A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C58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84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C9E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8D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0A8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9481693">
    <w:abstractNumId w:val="1"/>
  </w:num>
  <w:num w:numId="2" w16cid:durableId="113437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66"/>
    <w:rsid w:val="0003179B"/>
    <w:rsid w:val="000624FA"/>
    <w:rsid w:val="000C72BC"/>
    <w:rsid w:val="000E03F5"/>
    <w:rsid w:val="000F1171"/>
    <w:rsid w:val="00133D7B"/>
    <w:rsid w:val="00156FD1"/>
    <w:rsid w:val="00157B0A"/>
    <w:rsid w:val="00162311"/>
    <w:rsid w:val="002118F6"/>
    <w:rsid w:val="002D6128"/>
    <w:rsid w:val="0030199A"/>
    <w:rsid w:val="00383C62"/>
    <w:rsid w:val="003A1275"/>
    <w:rsid w:val="003C2A1E"/>
    <w:rsid w:val="003C4781"/>
    <w:rsid w:val="003E3328"/>
    <w:rsid w:val="003F3359"/>
    <w:rsid w:val="00412405"/>
    <w:rsid w:val="00467408"/>
    <w:rsid w:val="004872EC"/>
    <w:rsid w:val="00490241"/>
    <w:rsid w:val="004A2263"/>
    <w:rsid w:val="004F702D"/>
    <w:rsid w:val="005A4C9B"/>
    <w:rsid w:val="00636BDD"/>
    <w:rsid w:val="00661D85"/>
    <w:rsid w:val="006726EE"/>
    <w:rsid w:val="00680855"/>
    <w:rsid w:val="00682A6C"/>
    <w:rsid w:val="00691400"/>
    <w:rsid w:val="006B0637"/>
    <w:rsid w:val="006E001B"/>
    <w:rsid w:val="00720E16"/>
    <w:rsid w:val="00785374"/>
    <w:rsid w:val="007D0388"/>
    <w:rsid w:val="00840259"/>
    <w:rsid w:val="00867D92"/>
    <w:rsid w:val="00867EDC"/>
    <w:rsid w:val="008A6431"/>
    <w:rsid w:val="008C69F4"/>
    <w:rsid w:val="00910B6E"/>
    <w:rsid w:val="0096407B"/>
    <w:rsid w:val="009B73A7"/>
    <w:rsid w:val="00A8546C"/>
    <w:rsid w:val="00B34A93"/>
    <w:rsid w:val="00B44C66"/>
    <w:rsid w:val="00B55EA3"/>
    <w:rsid w:val="00B82896"/>
    <w:rsid w:val="00BC319E"/>
    <w:rsid w:val="00C0175F"/>
    <w:rsid w:val="00C13930"/>
    <w:rsid w:val="00C65B97"/>
    <w:rsid w:val="00C86114"/>
    <w:rsid w:val="00CB0478"/>
    <w:rsid w:val="00CB1D8E"/>
    <w:rsid w:val="00D31C6F"/>
    <w:rsid w:val="00D31F4E"/>
    <w:rsid w:val="00D729C7"/>
    <w:rsid w:val="00D74F58"/>
    <w:rsid w:val="00D7637E"/>
    <w:rsid w:val="00D8254C"/>
    <w:rsid w:val="00D85818"/>
    <w:rsid w:val="00DA1E68"/>
    <w:rsid w:val="00DA1FB7"/>
    <w:rsid w:val="00E05250"/>
    <w:rsid w:val="00E27279"/>
    <w:rsid w:val="00E71E92"/>
    <w:rsid w:val="00E74B05"/>
    <w:rsid w:val="00E94AA8"/>
    <w:rsid w:val="00F36E13"/>
    <w:rsid w:val="00F46DA5"/>
    <w:rsid w:val="00F557BB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BFEF"/>
  <w15:docId w15:val="{A5A75225-BF27-4D9B-A427-9D524FD2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A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93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36B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09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11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1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49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8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5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98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51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99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0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3237-67B6-40AA-8D8D-BE50EBB5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Nováková</dc:creator>
  <cp:lastModifiedBy>Magdalena Borucińska</cp:lastModifiedBy>
  <cp:revision>18</cp:revision>
  <cp:lastPrinted>2018-06-11T12:07:00Z</cp:lastPrinted>
  <dcterms:created xsi:type="dcterms:W3CDTF">2023-02-07T09:40:00Z</dcterms:created>
  <dcterms:modified xsi:type="dcterms:W3CDTF">2025-04-01T09:09:00Z</dcterms:modified>
</cp:coreProperties>
</file>